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DCB30" w14:textId="77777777" w:rsidR="00F6753A" w:rsidRDefault="00000000">
      <w:pPr>
        <w:widowControl w:val="0"/>
        <w:spacing w:after="0"/>
        <w:jc w:val="both"/>
        <w:outlineLvl w:val="2"/>
        <w:rPr>
          <w:rFonts w:ascii="Times New Roman" w:hAnsi="Times New Roman" w:cs="Times New Roman"/>
          <w:b/>
          <w:bCs/>
        </w:rPr>
      </w:pPr>
      <w:r>
        <w:rPr>
          <w:rFonts w:ascii="Times New Roman" w:hAnsi="Times New Roman" w:cs="Times New Roman"/>
          <w:b/>
          <w:bCs/>
          <w:noProof/>
        </w:rPr>
        <w:drawing>
          <wp:anchor distT="0" distB="0" distL="0" distR="0" simplePos="0" relativeHeight="251658240" behindDoc="0" locked="0" layoutInCell="0" allowOverlap="1" wp14:anchorId="74133872" wp14:editId="20695C89">
            <wp:simplePos x="0" y="0"/>
            <wp:positionH relativeFrom="margin">
              <wp:posOffset>0</wp:posOffset>
            </wp:positionH>
            <wp:positionV relativeFrom="paragraph">
              <wp:posOffset>-591185</wp:posOffset>
            </wp:positionV>
            <wp:extent cx="1857375" cy="581025"/>
            <wp:effectExtent l="0" t="0" r="0" b="0"/>
            <wp:wrapNone/>
            <wp:docPr id="1" name="Рисунок 2" descr="cid:image001.png@01D51F9F.BAFAF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1.png@01D51F9F.BAFAFE10"/>
                    <pic:cNvPicPr>
                      <a:picLocks noChangeAspect="1" noChangeArrowheads="1"/>
                    </pic:cNvPicPr>
                  </pic:nvPicPr>
                  <pic:blipFill>
                    <a:blip r:embed="rId6"/>
                    <a:stretch>
                      <a:fillRect/>
                    </a:stretch>
                  </pic:blipFill>
                  <pic:spPr bwMode="auto">
                    <a:xfrm>
                      <a:off x="0" y="0"/>
                      <a:ext cx="1857375" cy="581025"/>
                    </a:xfrm>
                    <a:prstGeom prst="rect">
                      <a:avLst/>
                    </a:prstGeom>
                    <a:noFill/>
                  </pic:spPr>
                </pic:pic>
              </a:graphicData>
            </a:graphic>
          </wp:anchor>
        </w:drawing>
      </w:r>
    </w:p>
    <w:p w14:paraId="5E48D404" w14:textId="77777777" w:rsidR="00F6753A" w:rsidRDefault="00F6753A">
      <w:pPr>
        <w:spacing w:after="0"/>
        <w:jc w:val="center"/>
        <w:rPr>
          <w:rFonts w:ascii="Times New Roman" w:hAnsi="Times New Roman" w:cs="Times New Roman"/>
          <w:b/>
          <w:color w:val="0070C0"/>
          <w:sz w:val="26"/>
          <w:szCs w:val="26"/>
        </w:rPr>
      </w:pPr>
    </w:p>
    <w:p w14:paraId="2AFA86A7" w14:textId="77777777" w:rsidR="00F6753A" w:rsidRPr="00A96871" w:rsidRDefault="00000000">
      <w:pPr>
        <w:spacing w:after="0"/>
        <w:jc w:val="center"/>
        <w:rPr>
          <w:rFonts w:ascii="Times New Roman" w:hAnsi="Times New Roman" w:cs="Times New Roman"/>
          <w:b/>
          <w:color w:val="0070C0"/>
          <w:sz w:val="26"/>
          <w:szCs w:val="26"/>
          <w:lang w:val="en-US"/>
        </w:rPr>
      </w:pPr>
      <w:r>
        <w:rPr>
          <w:rFonts w:ascii="Times New Roman" w:eastAsia="Times New Roman" w:hAnsi="Times New Roman" w:cs="Times New Roman"/>
          <w:b/>
          <w:color w:val="0070C0"/>
          <w:sz w:val="26"/>
          <w:szCs w:val="26"/>
          <w:lang w:val="en"/>
        </w:rPr>
        <w:t xml:space="preserve">EXPLANATORY NOTE AND DRAFT DECISION </w:t>
      </w:r>
    </w:p>
    <w:p w14:paraId="680C8F67" w14:textId="77777777" w:rsidR="00F6753A" w:rsidRPr="00A96871" w:rsidRDefault="00000000">
      <w:pPr>
        <w:spacing w:after="0"/>
        <w:jc w:val="center"/>
        <w:rPr>
          <w:rFonts w:ascii="Times New Roman" w:hAnsi="Times New Roman" w:cs="Times New Roman"/>
          <w:b/>
          <w:color w:val="0070C0"/>
          <w:sz w:val="26"/>
          <w:szCs w:val="26"/>
          <w:lang w:val="en-US"/>
        </w:rPr>
      </w:pPr>
      <w:r>
        <w:rPr>
          <w:rFonts w:ascii="Times New Roman" w:eastAsia="Times New Roman" w:hAnsi="Times New Roman" w:cs="Times New Roman"/>
          <w:b/>
          <w:color w:val="0070C0"/>
          <w:sz w:val="26"/>
          <w:szCs w:val="26"/>
          <w:lang w:val="en"/>
        </w:rPr>
        <w:t xml:space="preserve">OF THE GENERAL SHAREHOLDERS MEETING </w:t>
      </w:r>
    </w:p>
    <w:p w14:paraId="44E66159" w14:textId="1EC49A43" w:rsidR="00F6753A" w:rsidRPr="00A96871" w:rsidRDefault="00000000">
      <w:pPr>
        <w:spacing w:after="0"/>
        <w:jc w:val="center"/>
        <w:rPr>
          <w:rFonts w:ascii="Times New Roman" w:hAnsi="Times New Roman" w:cs="Times New Roman"/>
          <w:b/>
          <w:color w:val="0070C0"/>
          <w:sz w:val="26"/>
          <w:szCs w:val="26"/>
          <w:lang w:val="en-US"/>
        </w:rPr>
      </w:pPr>
      <w:r>
        <w:rPr>
          <w:rFonts w:ascii="Times New Roman" w:eastAsia="Times New Roman" w:hAnsi="Times New Roman" w:cs="Times New Roman"/>
          <w:b/>
          <w:color w:val="0070C0"/>
          <w:sz w:val="26"/>
          <w:szCs w:val="26"/>
          <w:lang w:val="en"/>
        </w:rPr>
        <w:t xml:space="preserve">OF </w:t>
      </w:r>
      <w:r w:rsidR="00A96871">
        <w:rPr>
          <w:rFonts w:ascii="Times New Roman" w:eastAsia="Times New Roman" w:hAnsi="Times New Roman" w:cs="Times New Roman"/>
          <w:b/>
          <w:color w:val="0070C0"/>
          <w:sz w:val="26"/>
          <w:szCs w:val="26"/>
          <w:lang w:val="en"/>
        </w:rPr>
        <w:t>ROSSETI SOUTH, PJSC</w:t>
      </w:r>
    </w:p>
    <w:p w14:paraId="553161A2" w14:textId="77777777" w:rsidR="00F6753A" w:rsidRPr="00A96871" w:rsidRDefault="00F6753A">
      <w:pPr>
        <w:spacing w:after="0"/>
        <w:jc w:val="both"/>
        <w:rPr>
          <w:rFonts w:ascii="Times New Roman" w:hAnsi="Times New Roman" w:cs="Times New Roman"/>
          <w:b/>
          <w:sz w:val="26"/>
          <w:szCs w:val="26"/>
          <w:lang w:val="en-US"/>
        </w:rPr>
      </w:pPr>
    </w:p>
    <w:p w14:paraId="627B5692" w14:textId="38EC641B" w:rsidR="00F6753A" w:rsidRPr="00A96871" w:rsidRDefault="00000000">
      <w:pPr>
        <w:spacing w:after="0" w:line="240" w:lineRule="auto"/>
        <w:ind w:firstLine="567"/>
        <w:jc w:val="both"/>
        <w:rPr>
          <w:rFonts w:ascii="Times New Roman" w:eastAsia="Times New Roman" w:hAnsi="Times New Roman" w:cs="Times New Roman"/>
          <w:b/>
          <w:color w:val="000000"/>
          <w:sz w:val="26"/>
          <w:szCs w:val="26"/>
          <w:lang w:val="en-US" w:eastAsia="ru-RU"/>
        </w:rPr>
      </w:pPr>
      <w:r>
        <w:rPr>
          <w:rFonts w:ascii="Times New Roman" w:eastAsia="Times New Roman" w:hAnsi="Times New Roman" w:cs="Times New Roman"/>
          <w:b/>
          <w:color w:val="000000"/>
          <w:sz w:val="26"/>
          <w:szCs w:val="26"/>
          <w:u w:val="single"/>
          <w:lang w:val="en" w:eastAsia="ru-RU"/>
        </w:rPr>
        <w:t>ITEM 2:</w:t>
      </w:r>
      <w:r>
        <w:rPr>
          <w:rFonts w:ascii="Times New Roman" w:eastAsia="Times New Roman" w:hAnsi="Times New Roman" w:cs="Times New Roman"/>
          <w:b/>
          <w:color w:val="000000"/>
          <w:sz w:val="26"/>
          <w:szCs w:val="26"/>
          <w:lang w:val="en" w:eastAsia="ru-RU"/>
        </w:rPr>
        <w:t xml:space="preserve"> Concerning the determination of quantity, nominal value, category (type) of authorized shares of </w:t>
      </w:r>
      <w:r w:rsidR="00A96871">
        <w:rPr>
          <w:rFonts w:ascii="Times New Roman" w:eastAsia="Times New Roman" w:hAnsi="Times New Roman" w:cs="Times New Roman"/>
          <w:b/>
          <w:color w:val="000000"/>
          <w:sz w:val="26"/>
          <w:szCs w:val="26"/>
          <w:lang w:val="en" w:eastAsia="ru-RU"/>
        </w:rPr>
        <w:t>ROSSETI South, PJSC</w:t>
      </w:r>
      <w:r>
        <w:rPr>
          <w:rFonts w:ascii="Times New Roman" w:eastAsia="Times New Roman" w:hAnsi="Times New Roman" w:cs="Times New Roman"/>
          <w:b/>
          <w:color w:val="000000"/>
          <w:sz w:val="26"/>
          <w:szCs w:val="26"/>
          <w:lang w:val="en" w:eastAsia="ru-RU"/>
        </w:rPr>
        <w:t xml:space="preserve"> and the rights attached by these shares. </w:t>
      </w:r>
    </w:p>
    <w:p w14:paraId="30B50D43" w14:textId="0351C94A" w:rsidR="00F6753A" w:rsidRPr="00A96871" w:rsidRDefault="00000000">
      <w:pPr>
        <w:spacing w:after="0" w:line="240" w:lineRule="auto"/>
        <w:ind w:firstLine="567"/>
        <w:jc w:val="both"/>
        <w:rPr>
          <w:lang w:val="en-US"/>
        </w:rPr>
      </w:pPr>
      <w:r>
        <w:rPr>
          <w:rFonts w:ascii="Times New Roman" w:hAnsi="Times New Roman" w:cs="Times New Roman"/>
          <w:sz w:val="26"/>
          <w:szCs w:val="26"/>
          <w:lang w:val="en"/>
        </w:rPr>
        <w:t xml:space="preserve">Under the chapter 42, clause 42.1 of Regulation of the Bank of Russia dated 19.12.2019 No. 706-P "On standards of the issue of securities" (hereinafter </w:t>
      </w:r>
      <w:r w:rsidR="006A1F00" w:rsidRPr="006A1F00">
        <w:rPr>
          <w:rFonts w:ascii="Times New Roman" w:hAnsi="Times New Roman" w:cs="Times New Roman"/>
          <w:sz w:val="26"/>
          <w:szCs w:val="26"/>
          <w:lang w:val="en-US"/>
        </w:rPr>
        <w:t>"</w:t>
      </w:r>
      <w:r>
        <w:rPr>
          <w:rFonts w:ascii="Times New Roman" w:hAnsi="Times New Roman" w:cs="Times New Roman"/>
          <w:sz w:val="26"/>
          <w:szCs w:val="26"/>
          <w:lang w:val="en"/>
        </w:rPr>
        <w:t>Issue Standards</w:t>
      </w:r>
      <w:r w:rsidR="006A1F00" w:rsidRPr="006A1F00">
        <w:rPr>
          <w:rFonts w:ascii="Times New Roman" w:hAnsi="Times New Roman" w:cs="Times New Roman"/>
          <w:sz w:val="26"/>
          <w:szCs w:val="26"/>
          <w:lang w:val="en-US"/>
        </w:rPr>
        <w:t>"</w:t>
      </w:r>
      <w:r>
        <w:rPr>
          <w:rFonts w:ascii="Times New Roman" w:hAnsi="Times New Roman" w:cs="Times New Roman"/>
          <w:sz w:val="26"/>
          <w:szCs w:val="26"/>
          <w:lang w:val="en"/>
        </w:rPr>
        <w:t>), in case of reorganization through merger, the additional shares of the absorbing joint-stock company shall be placed upon the decision on reorganization through merger and the decision on the increase of authorized capital of the absorbing Company by the placement of additional shares.</w:t>
      </w:r>
    </w:p>
    <w:p w14:paraId="2CCA7E3C" w14:textId="77777777" w:rsidR="00F6753A" w:rsidRPr="00A96871" w:rsidRDefault="00000000">
      <w:pPr>
        <w:spacing w:after="0" w:line="240" w:lineRule="auto"/>
        <w:ind w:firstLine="708"/>
        <w:jc w:val="both"/>
        <w:rPr>
          <w:lang w:val="en-US"/>
        </w:rPr>
      </w:pPr>
      <w:r>
        <w:rPr>
          <w:rFonts w:ascii="Times New Roman" w:hAnsi="Times New Roman" w:cs="Times New Roman"/>
          <w:sz w:val="26"/>
          <w:szCs w:val="26"/>
          <w:lang w:val="en"/>
        </w:rPr>
        <w:t>Under the Issue Standards, chapter 46, clauses 47.1 and 47.2, the placement of shares of the absorbing joint-stock company is carried out by conversion. The conversion of shares of the absorbed company may be carried out into shares acquired and (or) repurchased by the absorbing joint-stock company, and (or) passed to the control of this joint-stock company, and (or) into its additional shares.</w:t>
      </w:r>
    </w:p>
    <w:p w14:paraId="6F5994CB" w14:textId="4A11CE19" w:rsidR="00F6753A" w:rsidRPr="00A96871" w:rsidRDefault="00000000">
      <w:pPr>
        <w:spacing w:after="0" w:line="240" w:lineRule="auto"/>
        <w:ind w:firstLine="708"/>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Issue Standards, clause 47.5, the decision on the increase of authorized capital by the placement of additional shares of the absorbing company shall contain the indication of the quantity of placed additional ordinary shares and preferred shares of each type within the quantity of authorized shares of this category (type), the method (methods) of the placement of additional shares </w:t>
      </w:r>
      <w:r w:rsidR="006A1F00">
        <w:rPr>
          <w:rFonts w:ascii="Times New Roman" w:hAnsi="Times New Roman" w:cs="Times New Roman"/>
          <w:sz w:val="26"/>
          <w:szCs w:val="26"/>
          <w:lang w:val="en-US"/>
        </w:rPr>
        <w:t>is</w:t>
      </w:r>
      <w:r>
        <w:rPr>
          <w:rFonts w:ascii="Times New Roman" w:hAnsi="Times New Roman" w:cs="Times New Roman"/>
          <w:sz w:val="26"/>
          <w:szCs w:val="26"/>
          <w:lang w:val="en"/>
        </w:rPr>
        <w:t xml:space="preserve"> conversion, conversion coefficient. </w:t>
      </w:r>
    </w:p>
    <w:p w14:paraId="5AAE1725" w14:textId="59596828" w:rsidR="00F6753A" w:rsidRPr="00A96871" w:rsidRDefault="00000000">
      <w:pPr>
        <w:spacing w:after="0" w:line="240" w:lineRule="auto"/>
        <w:ind w:firstLine="708"/>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article 27 of Federal Law dated 26.12.1995 No. 208-FZ "On joint-stock companies" (hereinafter </w:t>
      </w:r>
      <w:r w:rsidR="006A1F00" w:rsidRPr="006A1F00">
        <w:rPr>
          <w:rFonts w:ascii="Times New Roman" w:hAnsi="Times New Roman" w:cs="Times New Roman"/>
          <w:sz w:val="26"/>
          <w:szCs w:val="26"/>
          <w:lang w:val="en-US"/>
        </w:rPr>
        <w:t>"</w:t>
      </w:r>
      <w:r>
        <w:rPr>
          <w:rFonts w:ascii="Times New Roman" w:hAnsi="Times New Roman" w:cs="Times New Roman"/>
          <w:sz w:val="26"/>
          <w:szCs w:val="26"/>
          <w:lang w:val="en"/>
        </w:rPr>
        <w:t>the JSC Law</w:t>
      </w:r>
      <w:r w:rsidR="006A1F00" w:rsidRPr="006A1F00">
        <w:rPr>
          <w:rFonts w:ascii="Times New Roman" w:hAnsi="Times New Roman" w:cs="Times New Roman"/>
          <w:sz w:val="26"/>
          <w:szCs w:val="26"/>
          <w:lang w:val="en-US"/>
        </w:rPr>
        <w:t>"</w:t>
      </w:r>
      <w:r>
        <w:rPr>
          <w:rFonts w:ascii="Times New Roman" w:hAnsi="Times New Roman" w:cs="Times New Roman"/>
          <w:sz w:val="26"/>
          <w:szCs w:val="26"/>
          <w:lang w:val="en"/>
        </w:rPr>
        <w:t>), the Company Charter may determine the quantity, nominal value, categories (types) of shares which the company may place in addition to placed shares (</w:t>
      </w:r>
      <w:r w:rsidR="00161744">
        <w:rPr>
          <w:rFonts w:ascii="Times New Roman" w:hAnsi="Times New Roman" w:cs="Times New Roman"/>
          <w:sz w:val="26"/>
          <w:szCs w:val="26"/>
          <w:lang w:val="en"/>
        </w:rPr>
        <w:t>authorized</w:t>
      </w:r>
      <w:r>
        <w:rPr>
          <w:rFonts w:ascii="Times New Roman" w:hAnsi="Times New Roman" w:cs="Times New Roman"/>
          <w:sz w:val="26"/>
          <w:szCs w:val="26"/>
          <w:lang w:val="en"/>
        </w:rPr>
        <w:t xml:space="preserve"> shares) and rights conferred by these shares. In the absence of these provisions in the Company Charter, the company may not place additional shares. The decision on the introduction into the Company Charter of amendments and additions associated with provisions on authorized shares is adopted by the General shareholders meeting. </w:t>
      </w:r>
    </w:p>
    <w:p w14:paraId="63BAD9C1" w14:textId="0AE01E23" w:rsidR="00F6753A" w:rsidRPr="00A96871" w:rsidRDefault="00000000">
      <w:pPr>
        <w:spacing w:after="0" w:line="240" w:lineRule="auto"/>
        <w:ind w:firstLine="708"/>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article 10, clause 10.2, sub-clause 5 of the Charter of </w:t>
      </w:r>
      <w:r w:rsidR="00A96871">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(hereinafter </w:t>
      </w:r>
      <w:r w:rsidR="006A1F00" w:rsidRPr="006A1F00">
        <w:rPr>
          <w:rFonts w:ascii="Times New Roman" w:hAnsi="Times New Roman" w:cs="Times New Roman"/>
          <w:sz w:val="26"/>
          <w:szCs w:val="26"/>
          <w:lang w:val="en-US"/>
        </w:rPr>
        <w:t>"</w:t>
      </w:r>
      <w:r>
        <w:rPr>
          <w:rFonts w:ascii="Times New Roman" w:hAnsi="Times New Roman" w:cs="Times New Roman"/>
          <w:sz w:val="26"/>
          <w:szCs w:val="26"/>
          <w:lang w:val="en"/>
        </w:rPr>
        <w:t>the Company</w:t>
      </w:r>
      <w:r w:rsidR="006A1F00" w:rsidRPr="006A1F00">
        <w:rPr>
          <w:rFonts w:ascii="Times New Roman" w:hAnsi="Times New Roman" w:cs="Times New Roman"/>
          <w:sz w:val="26"/>
          <w:szCs w:val="26"/>
          <w:lang w:val="en-US"/>
        </w:rPr>
        <w:t>"</w:t>
      </w:r>
      <w:r>
        <w:rPr>
          <w:rFonts w:ascii="Times New Roman" w:hAnsi="Times New Roman" w:cs="Times New Roman"/>
          <w:sz w:val="26"/>
          <w:szCs w:val="26"/>
          <w:lang w:val="en"/>
        </w:rPr>
        <w:t>), the decision of the increase of authorized capital by the placement by the Company of additional shares pertains to the competence of the General shareholders meeting of the Company.</w:t>
      </w:r>
    </w:p>
    <w:p w14:paraId="1240AFDC" w14:textId="555CA690" w:rsidR="00F6753A" w:rsidRPr="00A96871" w:rsidRDefault="00000000">
      <w:pPr>
        <w:spacing w:after="0" w:line="240" w:lineRule="auto"/>
        <w:ind w:firstLine="708"/>
        <w:jc w:val="both"/>
        <w:rPr>
          <w:rFonts w:ascii="Times New Roman" w:hAnsi="Times New Roman" w:cs="Times New Roman"/>
          <w:sz w:val="26"/>
          <w:szCs w:val="26"/>
          <w:lang w:val="en-US"/>
        </w:rPr>
      </w:pPr>
      <w:r>
        <w:rPr>
          <w:rFonts w:ascii="Times New Roman" w:hAnsi="Times New Roman" w:cs="Times New Roman"/>
          <w:sz w:val="26"/>
          <w:szCs w:val="26"/>
          <w:lang w:val="en"/>
        </w:rPr>
        <w:t xml:space="preserve">Whereas the quantity of ordinary authorized shares of </w:t>
      </w:r>
      <w:r w:rsidR="00A96871">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set out by clause 4.5 of the Charter of </w:t>
      </w:r>
      <w:r w:rsidR="00A96871">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is insufficient for the placement of the quantity of additional shares of </w:t>
      </w:r>
      <w:r w:rsidR="00A96871">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required for the conversion of the absorbed company shares, the decision on the increase of authorized capital by the placement by </w:t>
      </w:r>
      <w:r w:rsidR="00A96871">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of additional shares may be adopted by the General meeting of shareholders of </w:t>
      </w:r>
      <w:r w:rsidR="00A96871">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w:t>
      </w:r>
    </w:p>
    <w:p w14:paraId="56A7503B" w14:textId="77777777" w:rsidR="00F6753A" w:rsidRPr="00A96871" w:rsidRDefault="00000000">
      <w:pPr>
        <w:spacing w:after="0" w:line="240" w:lineRule="auto"/>
        <w:ind w:firstLine="708"/>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article 28 of the JSC Law, the decision on the increase of authorized capital by the placement of additional shares may be adopted by the General shareholders meeting simultaneously with the decision on the introduction into the Company Charter of provisions on authorized shares required in accordance with the JSC Law. </w:t>
      </w:r>
    </w:p>
    <w:p w14:paraId="6BBDC1F2" w14:textId="27F9CEBB" w:rsidR="00F6753A" w:rsidRPr="00A96871" w:rsidRDefault="00000000">
      <w:pPr>
        <w:spacing w:after="0" w:line="240" w:lineRule="auto"/>
        <w:ind w:firstLine="708"/>
        <w:jc w:val="both"/>
        <w:rPr>
          <w:rFonts w:ascii="Times New Roman" w:hAnsi="Times New Roman" w:cs="Times New Roman"/>
          <w:sz w:val="26"/>
          <w:szCs w:val="26"/>
          <w:lang w:val="en-US"/>
        </w:rPr>
      </w:pPr>
      <w:r>
        <w:rPr>
          <w:rFonts w:ascii="Times New Roman" w:hAnsi="Times New Roman" w:cs="Times New Roman"/>
          <w:sz w:val="26"/>
          <w:szCs w:val="26"/>
          <w:lang w:val="en"/>
        </w:rPr>
        <w:lastRenderedPageBreak/>
        <w:t xml:space="preserve">In view of the above-mentioned, the reorganization of </w:t>
      </w:r>
      <w:r w:rsidR="00A96871">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in the form of merger of </w:t>
      </w:r>
      <w:r w:rsidR="00161744">
        <w:rPr>
          <w:rFonts w:ascii="Times New Roman" w:hAnsi="Times New Roman" w:cs="Times New Roman"/>
          <w:sz w:val="26"/>
          <w:szCs w:val="26"/>
          <w:lang w:val="en"/>
        </w:rPr>
        <w:t>ROSSETI Kuban, JSC</w:t>
      </w:r>
      <w:r w:rsidR="00161744" w:rsidRPr="00161744">
        <w:rPr>
          <w:rFonts w:ascii="Times New Roman" w:hAnsi="Times New Roman" w:cs="Times New Roman"/>
          <w:sz w:val="26"/>
          <w:szCs w:val="26"/>
          <w:lang w:val="en-US"/>
        </w:rPr>
        <w:t xml:space="preserve"> </w:t>
      </w:r>
      <w:r>
        <w:rPr>
          <w:rFonts w:ascii="Times New Roman" w:hAnsi="Times New Roman" w:cs="Times New Roman"/>
          <w:sz w:val="26"/>
          <w:szCs w:val="26"/>
          <w:lang w:val="en"/>
        </w:rPr>
        <w:t xml:space="preserve">into it requires that the extraordinary general shareholders meeting of </w:t>
      </w:r>
      <w:r w:rsidR="00A96871">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simultaneously with the decision on the reorganization of </w:t>
      </w:r>
      <w:r w:rsidR="00A96871">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made the decision regarding "On determination of the quantity, nominal value, category (type) of authorized shares of </w:t>
      </w:r>
      <w:r w:rsidR="00A96871">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and rights conferred by these shares" and "On the increase of authorized capital of </w:t>
      </w:r>
      <w:r w:rsidR="00A96871">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by the placement of additional shares".</w:t>
      </w:r>
    </w:p>
    <w:p w14:paraId="69C64AEF" w14:textId="1A5AFF50" w:rsidR="00F6753A" w:rsidRPr="00A96871" w:rsidRDefault="00000000">
      <w:pPr>
        <w:spacing w:after="0" w:line="240" w:lineRule="auto"/>
        <w:ind w:firstLine="567"/>
        <w:jc w:val="both"/>
        <w:rPr>
          <w:lang w:val="en-US"/>
        </w:rPr>
      </w:pPr>
      <w:r>
        <w:rPr>
          <w:rFonts w:ascii="Times New Roman" w:eastAsia="Times New Roman" w:hAnsi="Times New Roman" w:cs="Times New Roman"/>
          <w:bCs/>
          <w:sz w:val="26"/>
          <w:szCs w:val="26"/>
          <w:lang w:val="en"/>
        </w:rPr>
        <w:t xml:space="preserve">The Board of directors of </w:t>
      </w:r>
      <w:r w:rsidR="00A96871">
        <w:rPr>
          <w:rFonts w:ascii="Times New Roman" w:eastAsia="Times New Roman" w:hAnsi="Times New Roman" w:cs="Times New Roman"/>
          <w:bCs/>
          <w:sz w:val="26"/>
          <w:szCs w:val="26"/>
          <w:lang w:val="en"/>
        </w:rPr>
        <w:t>ROSSETI South, PJSC</w:t>
      </w:r>
      <w:r>
        <w:rPr>
          <w:rFonts w:ascii="Times New Roman" w:eastAsia="Times New Roman" w:hAnsi="Times New Roman" w:cs="Times New Roman"/>
          <w:bCs/>
          <w:sz w:val="26"/>
          <w:szCs w:val="26"/>
          <w:lang w:val="en"/>
        </w:rPr>
        <w:t xml:space="preserve"> by the decision dated 11.04.2025 (minutes of meeting No. 613/2025) recommended to the General shareholders meeting of </w:t>
      </w:r>
      <w:r w:rsidR="00A96871">
        <w:rPr>
          <w:rFonts w:ascii="Times New Roman" w:eastAsia="Times New Roman" w:hAnsi="Times New Roman" w:cs="Times New Roman"/>
          <w:bCs/>
          <w:sz w:val="26"/>
          <w:szCs w:val="26"/>
          <w:lang w:val="en"/>
        </w:rPr>
        <w:t>ROSSETI South, PJSC</w:t>
      </w:r>
      <w:r>
        <w:rPr>
          <w:rFonts w:ascii="Times New Roman" w:eastAsia="Calibri" w:hAnsi="Times New Roman" w:cs="Times New Roman"/>
          <w:bCs/>
          <w:color w:val="000000"/>
          <w:sz w:val="26"/>
          <w:szCs w:val="26"/>
          <w:lang w:val="en"/>
        </w:rPr>
        <w:t xml:space="preserve"> to adopt the following decision:</w:t>
      </w:r>
    </w:p>
    <w:p w14:paraId="7735B3EC" w14:textId="4A3E6EF9" w:rsidR="00F6753A" w:rsidRPr="00A96871"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t xml:space="preserve">"Determine that the quantity of authorized ordinary shares that </w:t>
      </w:r>
      <w:r w:rsidR="00A96871">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may place in addition to the placed ordinary shares of </w:t>
      </w:r>
      <w:r w:rsidR="00A96871">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amounts to 540,638,202,822 (Five hundred forty billion six hundred thirty-eight million two hundred two thousand eight hundred twenty-two) shares with a nominal value of 10 (Ten) kopecks each for a total amount of 54,063,820,282 (Fifty-four billion, sixty-three million, eight hundred twenty thousand, two hundred eighty-two) rubles and 20 (Twenty) kopecks. </w:t>
      </w:r>
    </w:p>
    <w:p w14:paraId="624463A9" w14:textId="770D3CA3" w:rsidR="00F6753A" w:rsidRPr="0030056D"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t xml:space="preserve">Ordinary shares authorized by </w:t>
      </w:r>
      <w:r w:rsidR="00A96871">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for placement confer rights to their owners stipulated in the article 6, clause 6.2 of the Charter of </w:t>
      </w:r>
      <w:r w:rsidR="00A96871">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w:t>
      </w:r>
    </w:p>
    <w:p w14:paraId="74B03F34" w14:textId="77777777" w:rsidR="00F6753A" w:rsidRPr="00A96871"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Times New Roman" w:hAnsi="Times New Roman" w:cs="Times New Roman"/>
          <w:bCs/>
          <w:sz w:val="26"/>
          <w:szCs w:val="26"/>
          <w:lang w:val="en"/>
        </w:rPr>
        <w:t xml:space="preserve"> In accordance with the Company Charter, the article 10, clause 10.5, the decision on this matter is adopted by a three-quarter majority vote of voting shareholders of the Company participating in absentee voting.</w:t>
      </w:r>
    </w:p>
    <w:p w14:paraId="2875B4EA" w14:textId="3226BF89" w:rsidR="00F6753A" w:rsidRPr="00A96871" w:rsidRDefault="00000000">
      <w:pPr>
        <w:spacing w:after="0" w:line="240" w:lineRule="auto"/>
        <w:ind w:firstLine="567"/>
        <w:jc w:val="both"/>
        <w:rPr>
          <w:lang w:val="en-US"/>
        </w:rPr>
      </w:pPr>
      <w:r>
        <w:rPr>
          <w:rFonts w:ascii="Times New Roman" w:eastAsia="Times New Roman" w:hAnsi="Times New Roman" w:cs="Times New Roman"/>
          <w:sz w:val="26"/>
          <w:szCs w:val="26"/>
          <w:lang w:val="en"/>
        </w:rPr>
        <w:t xml:space="preserve">Given these considerations, the General shareholders meeting of </w:t>
      </w:r>
      <w:r w:rsidR="00A96871">
        <w:rPr>
          <w:rFonts w:ascii="Times New Roman" w:eastAsia="Times New Roman" w:hAnsi="Times New Roman" w:cs="Times New Roman"/>
          <w:sz w:val="26"/>
          <w:szCs w:val="26"/>
          <w:lang w:val="en"/>
        </w:rPr>
        <w:t>ROSSETI South, PJSC</w:t>
      </w:r>
      <w:r>
        <w:rPr>
          <w:rFonts w:ascii="Times New Roman" w:eastAsia="Times New Roman" w:hAnsi="Times New Roman" w:cs="Times New Roman"/>
          <w:sz w:val="26"/>
          <w:szCs w:val="26"/>
          <w:lang w:val="en"/>
        </w:rPr>
        <w:t xml:space="preserve"> is proposed to make decision on this item.</w:t>
      </w:r>
    </w:p>
    <w:p w14:paraId="46AA34C6" w14:textId="77777777" w:rsidR="00F6753A" w:rsidRPr="00A96871" w:rsidRDefault="00000000">
      <w:pPr>
        <w:spacing w:after="0" w:line="240" w:lineRule="auto"/>
        <w:ind w:firstLine="567"/>
        <w:contextualSpacing/>
        <w:jc w:val="both"/>
        <w:rPr>
          <w:u w:val="single"/>
          <w:lang w:val="en-US"/>
        </w:rPr>
      </w:pPr>
      <w:r>
        <w:rPr>
          <w:rFonts w:ascii="Times New Roman" w:hAnsi="Times New Roman" w:cs="Times New Roman"/>
          <w:b/>
          <w:sz w:val="26"/>
          <w:szCs w:val="26"/>
          <w:u w:val="single"/>
          <w:lang w:val="en"/>
        </w:rPr>
        <w:t>DRAFT DECISION</w:t>
      </w:r>
      <w:r>
        <w:rPr>
          <w:rFonts w:ascii="Times New Roman" w:hAnsi="Times New Roman" w:cs="Times New Roman"/>
          <w:sz w:val="26"/>
          <w:szCs w:val="26"/>
          <w:u w:val="single"/>
          <w:lang w:val="en"/>
        </w:rPr>
        <w:t>:</w:t>
      </w:r>
    </w:p>
    <w:p w14:paraId="0AB75983" w14:textId="74B0887D" w:rsidR="00F6753A" w:rsidRPr="00A96871"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t xml:space="preserve">Determine that the quantity of authorized ordinary shares that </w:t>
      </w:r>
      <w:r w:rsidR="00A96871">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may place in addition to the placed ordinary shares of </w:t>
      </w:r>
      <w:r w:rsidR="00A96871">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amounts to 540,638,202,822 (Five hundred forty billion six hundred thirty-eight million two hundred two thousand eight hundred twenty-two) shares with a nominal value of 10 (Ten) kopecks each for a total amount of 54,063,820,282 (Fifty-four billion, sixty-three million, eight hundred twenty thousand, two hundred eighty-two) rubles and 20 (Twenty) kopecks. </w:t>
      </w:r>
    </w:p>
    <w:p w14:paraId="36F1B84E" w14:textId="0651C9B1" w:rsidR="00F6753A" w:rsidRPr="0030056D"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t xml:space="preserve">Ordinary shares authorized by </w:t>
      </w:r>
      <w:r w:rsidR="00A96871">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for placement confer the rights to their owners stipulated in the article 6, clause 6.2 of the Charter of </w:t>
      </w:r>
      <w:r w:rsidR="00A96871">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w:t>
      </w:r>
    </w:p>
    <w:p w14:paraId="72384746" w14:textId="77777777" w:rsidR="00F6753A" w:rsidRPr="00A96871" w:rsidRDefault="00F6753A">
      <w:pPr>
        <w:widowControl w:val="0"/>
        <w:spacing w:line="240" w:lineRule="auto"/>
        <w:ind w:firstLine="567"/>
        <w:contextualSpacing/>
        <w:jc w:val="both"/>
        <w:rPr>
          <w:rFonts w:ascii="Times New Roman" w:eastAsia="Calibri" w:hAnsi="Times New Roman" w:cs="Times New Roman"/>
          <w:color w:val="000000"/>
          <w:sz w:val="26"/>
          <w:szCs w:val="26"/>
          <w:lang w:val="en-US"/>
        </w:rPr>
      </w:pPr>
    </w:p>
    <w:sectPr w:rsidR="00F6753A" w:rsidRPr="00A96871">
      <w:headerReference w:type="even" r:id="rId7"/>
      <w:headerReference w:type="default" r:id="rId8"/>
      <w:headerReference w:type="first" r:id="rId9"/>
      <w:pgSz w:w="11906" w:h="16838"/>
      <w:pgMar w:top="1418" w:right="850" w:bottom="1134" w:left="1701" w:header="709" w:footer="0"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56E51" w14:textId="77777777" w:rsidR="00AA5E24" w:rsidRDefault="00AA5E24">
      <w:pPr>
        <w:spacing w:after="0" w:line="240" w:lineRule="auto"/>
      </w:pPr>
      <w:r>
        <w:separator/>
      </w:r>
    </w:p>
  </w:endnote>
  <w:endnote w:type="continuationSeparator" w:id="0">
    <w:p w14:paraId="7146A8C8" w14:textId="77777777" w:rsidR="00AA5E24" w:rsidRDefault="00AA5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w:charset w:val="00"/>
    <w:family w:val="swiss"/>
    <w:pitch w:val="variable"/>
    <w:sig w:usb0="E00082FF" w:usb1="400078FF" w:usb2="00000021"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EDE61" w14:textId="77777777" w:rsidR="00AA5E24" w:rsidRDefault="00AA5E24">
      <w:pPr>
        <w:spacing w:after="0" w:line="240" w:lineRule="auto"/>
      </w:pPr>
      <w:r>
        <w:separator/>
      </w:r>
    </w:p>
  </w:footnote>
  <w:footnote w:type="continuationSeparator" w:id="0">
    <w:p w14:paraId="548B13ED" w14:textId="77777777" w:rsidR="00AA5E24" w:rsidRDefault="00AA5E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BE94B" w14:textId="77777777" w:rsidR="00F6753A" w:rsidRDefault="00F6753A">
    <w:pPr>
      <w:pStyle w:val="ae"/>
      <w:ind w:left="2977"/>
      <w:jc w:val="center"/>
      <w:rPr>
        <w:i/>
      </w:rPr>
    </w:pPr>
  </w:p>
  <w:p w14:paraId="57C18C21" w14:textId="77777777" w:rsidR="00F6753A" w:rsidRDefault="00F6753A">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EBE1F" w14:textId="77777777" w:rsidR="00F6753A" w:rsidRDefault="00F6753A">
    <w:pPr>
      <w:pStyle w:val="ae"/>
      <w:ind w:left="2977"/>
      <w:jc w:val="center"/>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14A80" w14:textId="6A515113" w:rsidR="00F6753A" w:rsidRPr="00A44B02" w:rsidRDefault="00A96871">
    <w:pPr>
      <w:pStyle w:val="ae"/>
      <w:ind w:left="2977"/>
      <w:jc w:val="center"/>
      <w:rPr>
        <w:i/>
        <w:lang w:val="en-US"/>
      </w:rPr>
    </w:pPr>
    <w:r>
      <w:rPr>
        <w:i/>
        <w:lang w:val="en"/>
      </w:rPr>
      <w:t xml:space="preserve">Public Joint-Stock Company </w:t>
    </w:r>
    <w:r w:rsidRPr="00A96871">
      <w:rPr>
        <w:i/>
        <w:lang w:val="en-US"/>
      </w:rPr>
      <w:t>"</w:t>
    </w:r>
    <w:r>
      <w:rPr>
        <w:i/>
        <w:lang w:val="en"/>
      </w:rPr>
      <w:t>ROSSETI South</w:t>
    </w:r>
    <w:r w:rsidRPr="00A96871">
      <w:rPr>
        <w:i/>
        <w:lang w:val="en-US"/>
      </w:rPr>
      <w:t>"</w:t>
    </w:r>
  </w:p>
  <w:p w14:paraId="4F23F940" w14:textId="77777777" w:rsidR="00F6753A" w:rsidRPr="00A96871" w:rsidRDefault="00F6753A">
    <w:pPr>
      <w:pStyle w:val="a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0"/>
  <w:evenAndOddHeader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53A"/>
    <w:rsid w:val="00136612"/>
    <w:rsid w:val="00161744"/>
    <w:rsid w:val="0030056D"/>
    <w:rsid w:val="004A5621"/>
    <w:rsid w:val="006A1F00"/>
    <w:rsid w:val="006B76F8"/>
    <w:rsid w:val="009E49D7"/>
    <w:rsid w:val="00A44B02"/>
    <w:rsid w:val="00A96871"/>
    <w:rsid w:val="00AA5E24"/>
    <w:rsid w:val="00AC784A"/>
    <w:rsid w:val="00E05FE8"/>
    <w:rsid w:val="00F67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70B27"/>
  <w15:docId w15:val="{9ED047DE-A8AC-453D-B006-B8904E90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paragraph" w:styleId="1">
    <w:name w:val="heading 1"/>
    <w:basedOn w:val="a"/>
    <w:uiPriority w:val="9"/>
    <w:qFormat/>
    <w:pPr>
      <w:keepNext/>
      <w:keepLines/>
      <w:spacing w:before="480"/>
      <w:outlineLvl w:val="0"/>
    </w:pPr>
    <w:rPr>
      <w:rFonts w:ascii="Arial" w:eastAsia="Arial" w:hAnsi="Arial" w:cs="Arial"/>
      <w:sz w:val="40"/>
      <w:szCs w:val="40"/>
    </w:rPr>
  </w:style>
  <w:style w:type="paragraph" w:styleId="2">
    <w:name w:val="heading 2"/>
    <w:basedOn w:val="a"/>
    <w:uiPriority w:val="9"/>
    <w:unhideWhenUsed/>
    <w:qFormat/>
    <w:pPr>
      <w:keepNext/>
      <w:keepLines/>
      <w:spacing w:before="360"/>
      <w:outlineLvl w:val="1"/>
    </w:pPr>
    <w:rPr>
      <w:rFonts w:ascii="Arial" w:eastAsia="Arial" w:hAnsi="Arial" w:cs="Arial"/>
      <w:sz w:val="34"/>
    </w:rPr>
  </w:style>
  <w:style w:type="paragraph" w:styleId="3">
    <w:name w:val="heading 3"/>
    <w:basedOn w:val="a"/>
    <w:uiPriority w:val="9"/>
    <w:unhideWhenUsed/>
    <w:qFormat/>
    <w:pPr>
      <w:keepNext/>
      <w:keepLines/>
      <w:spacing w:before="320"/>
      <w:outlineLvl w:val="2"/>
    </w:pPr>
    <w:rPr>
      <w:rFonts w:ascii="Arial" w:eastAsia="Arial" w:hAnsi="Arial" w:cs="Arial"/>
      <w:sz w:val="30"/>
      <w:szCs w:val="30"/>
    </w:rPr>
  </w:style>
  <w:style w:type="paragraph" w:styleId="4">
    <w:name w:val="heading 4"/>
    <w:basedOn w:val="a"/>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uiPriority w:val="9"/>
    <w:unhideWhenUsed/>
    <w:qFormat/>
    <w:pPr>
      <w:keepNext/>
      <w:keepLines/>
      <w:spacing w:before="320"/>
      <w:outlineLvl w:val="5"/>
    </w:pPr>
    <w:rPr>
      <w:rFonts w:ascii="Arial" w:eastAsia="Arial" w:hAnsi="Arial" w:cs="Arial"/>
      <w:b/>
      <w:bCs/>
    </w:rPr>
  </w:style>
  <w:style w:type="paragraph" w:styleId="7">
    <w:name w:val="heading 7"/>
    <w:basedOn w:val="a"/>
    <w:uiPriority w:val="9"/>
    <w:unhideWhenUsed/>
    <w:qFormat/>
    <w:pPr>
      <w:keepNext/>
      <w:keepLines/>
      <w:spacing w:before="320"/>
      <w:outlineLvl w:val="6"/>
    </w:pPr>
    <w:rPr>
      <w:rFonts w:ascii="Arial" w:eastAsia="Arial" w:hAnsi="Arial" w:cs="Arial"/>
      <w:b/>
      <w:bCs/>
      <w:i/>
      <w:iCs/>
    </w:rPr>
  </w:style>
  <w:style w:type="paragraph" w:styleId="8">
    <w:name w:val="heading 8"/>
    <w:basedOn w:val="a"/>
    <w:uiPriority w:val="9"/>
    <w:unhideWhenUsed/>
    <w:qFormat/>
    <w:pPr>
      <w:keepNext/>
      <w:keepLines/>
      <w:spacing w:before="320"/>
      <w:outlineLvl w:val="7"/>
    </w:pPr>
    <w:rPr>
      <w:rFonts w:ascii="Arial" w:eastAsia="Arial" w:hAnsi="Arial" w:cs="Arial"/>
      <w:i/>
      <w:iCs/>
    </w:rPr>
  </w:style>
  <w:style w:type="paragraph" w:styleId="9">
    <w:name w:val="heading 9"/>
    <w:basedOn w:val="a"/>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qFormat/>
    <w:rPr>
      <w:rFonts w:ascii="Arial" w:eastAsia="Arial" w:hAnsi="Arial" w:cs="Arial"/>
      <w:sz w:val="40"/>
      <w:szCs w:val="40"/>
    </w:rPr>
  </w:style>
  <w:style w:type="character" w:customStyle="1" w:styleId="Heading2Char">
    <w:name w:val="Heading 2 Char"/>
    <w:uiPriority w:val="9"/>
    <w:qFormat/>
    <w:rPr>
      <w:rFonts w:ascii="Arial" w:eastAsia="Arial" w:hAnsi="Arial" w:cs="Arial"/>
      <w:sz w:val="34"/>
    </w:rPr>
  </w:style>
  <w:style w:type="character" w:customStyle="1" w:styleId="Heading3Char">
    <w:name w:val="Heading 3 Char"/>
    <w:uiPriority w:val="9"/>
    <w:qFormat/>
    <w:rPr>
      <w:rFonts w:ascii="Arial" w:eastAsia="Arial" w:hAnsi="Arial" w:cs="Arial"/>
      <w:sz w:val="30"/>
      <w:szCs w:val="30"/>
    </w:rPr>
  </w:style>
  <w:style w:type="character" w:customStyle="1" w:styleId="Heading4Char">
    <w:name w:val="Heading 4 Char"/>
    <w:uiPriority w:val="9"/>
    <w:qFormat/>
    <w:rPr>
      <w:rFonts w:ascii="Arial" w:eastAsia="Arial" w:hAnsi="Arial" w:cs="Arial"/>
      <w:b/>
      <w:bCs/>
      <w:sz w:val="26"/>
      <w:szCs w:val="26"/>
    </w:rPr>
  </w:style>
  <w:style w:type="character" w:customStyle="1" w:styleId="Heading5Char">
    <w:name w:val="Heading 5 Char"/>
    <w:uiPriority w:val="9"/>
    <w:qFormat/>
    <w:rPr>
      <w:rFonts w:ascii="Arial" w:eastAsia="Arial" w:hAnsi="Arial" w:cs="Arial"/>
      <w:b/>
      <w:bCs/>
      <w:sz w:val="24"/>
      <w:szCs w:val="24"/>
    </w:rPr>
  </w:style>
  <w:style w:type="character" w:customStyle="1" w:styleId="Heading6Char">
    <w:name w:val="Heading 6 Char"/>
    <w:uiPriority w:val="9"/>
    <w:qFormat/>
    <w:rPr>
      <w:rFonts w:ascii="Arial" w:eastAsia="Arial" w:hAnsi="Arial" w:cs="Arial"/>
      <w:b/>
      <w:bCs/>
      <w:sz w:val="22"/>
      <w:szCs w:val="22"/>
    </w:rPr>
  </w:style>
  <w:style w:type="character" w:customStyle="1" w:styleId="Heading7Char">
    <w:name w:val="Heading 7 Char"/>
    <w:uiPriority w:val="9"/>
    <w:qFormat/>
    <w:rPr>
      <w:rFonts w:ascii="Arial" w:eastAsia="Arial" w:hAnsi="Arial" w:cs="Arial"/>
      <w:b/>
      <w:bCs/>
      <w:i/>
      <w:iCs/>
      <w:sz w:val="22"/>
      <w:szCs w:val="22"/>
    </w:rPr>
  </w:style>
  <w:style w:type="character" w:customStyle="1" w:styleId="Heading8Char">
    <w:name w:val="Heading 8 Char"/>
    <w:uiPriority w:val="9"/>
    <w:qFormat/>
    <w:rPr>
      <w:rFonts w:ascii="Arial" w:eastAsia="Arial" w:hAnsi="Arial" w:cs="Arial"/>
      <w:i/>
      <w:iCs/>
      <w:sz w:val="22"/>
      <w:szCs w:val="22"/>
    </w:rPr>
  </w:style>
  <w:style w:type="character" w:customStyle="1" w:styleId="Heading9Char">
    <w:name w:val="Heading 9 Char"/>
    <w:uiPriority w:val="9"/>
    <w:qFormat/>
    <w:rPr>
      <w:rFonts w:ascii="Arial" w:eastAsia="Arial" w:hAnsi="Arial" w:cs="Arial"/>
      <w:i/>
      <w:iCs/>
      <w:sz w:val="21"/>
      <w:szCs w:val="21"/>
    </w:rPr>
  </w:style>
  <w:style w:type="character" w:customStyle="1" w:styleId="TitleChar">
    <w:name w:val="Title Char"/>
    <w:uiPriority w:val="10"/>
    <w:qFormat/>
    <w:rPr>
      <w:sz w:val="48"/>
      <w:szCs w:val="48"/>
    </w:rPr>
  </w:style>
  <w:style w:type="character" w:customStyle="1" w:styleId="SubtitleChar">
    <w:name w:val="Subtitle Char"/>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uiPriority w:val="99"/>
    <w:qFormat/>
  </w:style>
  <w:style w:type="character" w:customStyle="1" w:styleId="FooterChar">
    <w:name w:val="Footer Char"/>
    <w:uiPriority w:val="99"/>
    <w:qFormat/>
  </w:style>
  <w:style w:type="character" w:customStyle="1" w:styleId="CaptionChar">
    <w:name w:val="Caption Char"/>
    <w:uiPriority w:val="99"/>
    <w:qFormat/>
  </w:style>
  <w:style w:type="character" w:styleId="a3">
    <w:name w:val="Hyperlink"/>
    <w:uiPriority w:val="99"/>
    <w:unhideWhenUsed/>
    <w:rPr>
      <w:color w:val="0563C1" w:themeColor="hyperlink"/>
      <w:u w:val="single"/>
    </w:rPr>
  </w:style>
  <w:style w:type="character" w:customStyle="1" w:styleId="FootnoteTextChar">
    <w:name w:val="Footnote Text Char"/>
    <w:uiPriority w:val="99"/>
    <w:qFormat/>
    <w:rPr>
      <w:sz w:val="18"/>
    </w:rPr>
  </w:style>
  <w:style w:type="character" w:customStyle="1" w:styleId="a4">
    <w:name w:val="Символ сноски"/>
    <w:uiPriority w:val="99"/>
    <w:unhideWhenUsed/>
    <w:qFormat/>
    <w:rPr>
      <w:vertAlign w:val="superscript"/>
    </w:rPr>
  </w:style>
  <w:style w:type="character" w:styleId="a5">
    <w:name w:val="footnote reference"/>
    <w:rPr>
      <w:vertAlign w:val="superscript"/>
    </w:rPr>
  </w:style>
  <w:style w:type="character" w:customStyle="1" w:styleId="EndnoteTextChar">
    <w:name w:val="Endnote Text Char"/>
    <w:uiPriority w:val="99"/>
    <w:qFormat/>
    <w:rPr>
      <w:sz w:val="20"/>
    </w:rPr>
  </w:style>
  <w:style w:type="character" w:customStyle="1" w:styleId="a6">
    <w:name w:val="Символ концевой сноски"/>
    <w:uiPriority w:val="99"/>
    <w:semiHidden/>
    <w:unhideWhenUsed/>
    <w:qFormat/>
    <w:rPr>
      <w:vertAlign w:val="superscript"/>
    </w:rPr>
  </w:style>
  <w:style w:type="character" w:styleId="a7">
    <w:name w:val="endnote reference"/>
    <w:rPr>
      <w:vertAlign w:val="superscript"/>
    </w:rPr>
  </w:style>
  <w:style w:type="paragraph" w:customStyle="1" w:styleId="10">
    <w:name w:val="Заголовок1"/>
    <w:basedOn w:val="a"/>
    <w:next w:val="a8"/>
    <w:qFormat/>
    <w:pPr>
      <w:keepNext/>
      <w:spacing w:before="240" w:after="120"/>
    </w:pPr>
    <w:rPr>
      <w:rFonts w:ascii="Liberation Sans" w:eastAsia="Tahoma" w:hAnsi="Liberation Sans" w:cs="Noto Sans"/>
      <w:sz w:val="28"/>
      <w:szCs w:val="28"/>
    </w:rPr>
  </w:style>
  <w:style w:type="paragraph" w:styleId="a8">
    <w:name w:val="Body Text"/>
    <w:basedOn w:val="a"/>
    <w:pPr>
      <w:spacing w:after="140"/>
    </w:pPr>
  </w:style>
  <w:style w:type="paragraph" w:styleId="a9">
    <w:name w:val="List"/>
    <w:basedOn w:val="a8"/>
    <w:rPr>
      <w:rFonts w:cs="Noto Sans"/>
    </w:rPr>
  </w:style>
  <w:style w:type="paragraph" w:styleId="aa">
    <w:name w:val="caption"/>
    <w:basedOn w:val="a"/>
    <w:uiPriority w:val="35"/>
    <w:semiHidden/>
    <w:unhideWhenUsed/>
    <w:qFormat/>
    <w:rPr>
      <w:b/>
      <w:bCs/>
      <w:color w:val="5B9BD5" w:themeColor="accent1"/>
      <w:sz w:val="18"/>
      <w:szCs w:val="18"/>
    </w:rPr>
  </w:style>
  <w:style w:type="paragraph" w:customStyle="1" w:styleId="11">
    <w:name w:val="Указатель1"/>
    <w:basedOn w:val="a"/>
    <w:qFormat/>
    <w:pPr>
      <w:suppressLineNumbers/>
    </w:pPr>
    <w:rPr>
      <w:rFonts w:cs="Noto Sans"/>
    </w:rPr>
  </w:style>
  <w:style w:type="paragraph" w:customStyle="1" w:styleId="user">
    <w:name w:val="Заголовок (user)"/>
    <w:basedOn w:val="a"/>
    <w:next w:val="a8"/>
    <w:qFormat/>
    <w:pPr>
      <w:keepNext/>
      <w:spacing w:before="240" w:after="120"/>
    </w:pPr>
    <w:rPr>
      <w:rFonts w:ascii="Liberation Sans" w:eastAsia="Tahoma" w:hAnsi="Liberation Sans" w:cs="Noto Sans"/>
      <w:sz w:val="28"/>
      <w:szCs w:val="28"/>
    </w:rPr>
  </w:style>
  <w:style w:type="paragraph" w:customStyle="1" w:styleId="user0">
    <w:name w:val="Указатель (user)"/>
    <w:basedOn w:val="a"/>
    <w:qFormat/>
    <w:pPr>
      <w:suppressLineNumbers/>
    </w:pPr>
    <w:rPr>
      <w:rFonts w:cs="Noto Sans"/>
    </w:rPr>
  </w:style>
  <w:style w:type="paragraph" w:styleId="ab">
    <w:name w:val="Title"/>
    <w:basedOn w:val="a"/>
    <w:uiPriority w:val="10"/>
    <w:qFormat/>
    <w:pPr>
      <w:spacing w:before="300"/>
      <w:contextualSpacing/>
    </w:pPr>
    <w:rPr>
      <w:sz w:val="48"/>
      <w:szCs w:val="48"/>
    </w:rPr>
  </w:style>
  <w:style w:type="paragraph" w:styleId="ac">
    <w:name w:val="Subtitle"/>
    <w:basedOn w:val="a"/>
    <w:uiPriority w:val="11"/>
    <w:qFormat/>
    <w:pPr>
      <w:spacing w:before="200"/>
    </w:pPr>
    <w:rPr>
      <w:sz w:val="24"/>
      <w:szCs w:val="24"/>
    </w:rPr>
  </w:style>
  <w:style w:type="paragraph" w:styleId="20">
    <w:name w:val="Quote"/>
    <w:basedOn w:val="a"/>
    <w:uiPriority w:val="29"/>
    <w:qFormat/>
    <w:pPr>
      <w:ind w:left="720" w:right="720"/>
    </w:pPr>
    <w:rPr>
      <w:i/>
    </w:rPr>
  </w:style>
  <w:style w:type="paragraph" w:styleId="ad">
    <w:name w:val="Intense Quote"/>
    <w:basedOn w:val="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HeaderandFooter">
    <w:name w:val="Header and Footer"/>
    <w:basedOn w:val="a"/>
    <w:qFormat/>
  </w:style>
  <w:style w:type="paragraph" w:styleId="ae">
    <w:name w:val="header"/>
    <w:basedOn w:val="a"/>
    <w:uiPriority w:val="99"/>
    <w:unhideWhenUsed/>
    <w:pPr>
      <w:tabs>
        <w:tab w:val="center" w:pos="7143"/>
        <w:tab w:val="right" w:pos="14287"/>
      </w:tabs>
      <w:spacing w:after="0" w:line="240" w:lineRule="auto"/>
    </w:pPr>
  </w:style>
  <w:style w:type="paragraph" w:styleId="af">
    <w:name w:val="footer"/>
    <w:basedOn w:val="a"/>
    <w:uiPriority w:val="99"/>
    <w:unhideWhenUsed/>
    <w:pPr>
      <w:tabs>
        <w:tab w:val="center" w:pos="7143"/>
        <w:tab w:val="right" w:pos="14287"/>
      </w:tabs>
      <w:spacing w:after="0" w:line="240" w:lineRule="auto"/>
    </w:pPr>
  </w:style>
  <w:style w:type="paragraph" w:styleId="af0">
    <w:name w:val="footnote text"/>
    <w:basedOn w:val="a"/>
    <w:uiPriority w:val="99"/>
    <w:semiHidden/>
    <w:unhideWhenUsed/>
    <w:pPr>
      <w:spacing w:after="40" w:line="240" w:lineRule="auto"/>
    </w:pPr>
    <w:rPr>
      <w:sz w:val="18"/>
    </w:rPr>
  </w:style>
  <w:style w:type="paragraph" w:styleId="af1">
    <w:name w:val="endnote text"/>
    <w:basedOn w:val="a"/>
    <w:uiPriority w:val="99"/>
    <w:semiHidden/>
    <w:unhideWhenUsed/>
    <w:pPr>
      <w:spacing w:after="0" w:line="240" w:lineRule="auto"/>
    </w:pPr>
    <w:rPr>
      <w:sz w:val="20"/>
    </w:rPr>
  </w:style>
  <w:style w:type="paragraph" w:styleId="12">
    <w:name w:val="toc 1"/>
    <w:basedOn w:val="a"/>
    <w:uiPriority w:val="39"/>
    <w:unhideWhenUsed/>
    <w:pPr>
      <w:spacing w:after="57"/>
    </w:pPr>
  </w:style>
  <w:style w:type="paragraph" w:styleId="21">
    <w:name w:val="toc 2"/>
    <w:basedOn w:val="a"/>
    <w:uiPriority w:val="39"/>
    <w:unhideWhenUsed/>
    <w:pPr>
      <w:spacing w:after="57"/>
      <w:ind w:left="283"/>
    </w:pPr>
  </w:style>
  <w:style w:type="paragraph" w:styleId="30">
    <w:name w:val="toc 3"/>
    <w:basedOn w:val="a"/>
    <w:uiPriority w:val="39"/>
    <w:unhideWhenUsed/>
    <w:pPr>
      <w:spacing w:after="57"/>
      <w:ind w:left="567"/>
    </w:pPr>
  </w:style>
  <w:style w:type="paragraph" w:styleId="40">
    <w:name w:val="toc 4"/>
    <w:basedOn w:val="a"/>
    <w:uiPriority w:val="39"/>
    <w:unhideWhenUsed/>
    <w:pPr>
      <w:spacing w:after="57"/>
      <w:ind w:left="850"/>
    </w:pPr>
  </w:style>
  <w:style w:type="paragraph" w:styleId="50">
    <w:name w:val="toc 5"/>
    <w:basedOn w:val="a"/>
    <w:uiPriority w:val="39"/>
    <w:unhideWhenUsed/>
    <w:pPr>
      <w:spacing w:after="57"/>
      <w:ind w:left="1134"/>
    </w:pPr>
  </w:style>
  <w:style w:type="paragraph" w:styleId="60">
    <w:name w:val="toc 6"/>
    <w:basedOn w:val="a"/>
    <w:uiPriority w:val="39"/>
    <w:unhideWhenUsed/>
    <w:pPr>
      <w:spacing w:after="57"/>
      <w:ind w:left="1417"/>
    </w:pPr>
  </w:style>
  <w:style w:type="paragraph" w:styleId="70">
    <w:name w:val="toc 7"/>
    <w:basedOn w:val="a"/>
    <w:uiPriority w:val="39"/>
    <w:unhideWhenUsed/>
    <w:pPr>
      <w:spacing w:after="57"/>
      <w:ind w:left="1701"/>
    </w:pPr>
  </w:style>
  <w:style w:type="paragraph" w:styleId="80">
    <w:name w:val="toc 8"/>
    <w:basedOn w:val="a"/>
    <w:uiPriority w:val="39"/>
    <w:unhideWhenUsed/>
    <w:pPr>
      <w:spacing w:after="57"/>
      <w:ind w:left="1984"/>
    </w:pPr>
  </w:style>
  <w:style w:type="paragraph" w:styleId="90">
    <w:name w:val="toc 9"/>
    <w:basedOn w:val="a"/>
    <w:uiPriority w:val="39"/>
    <w:unhideWhenUsed/>
    <w:pPr>
      <w:spacing w:after="57"/>
      <w:ind w:left="2268"/>
    </w:pPr>
  </w:style>
  <w:style w:type="paragraph" w:styleId="af2">
    <w:name w:val="index heading"/>
    <w:basedOn w:val="user"/>
  </w:style>
  <w:style w:type="paragraph" w:styleId="af3">
    <w:name w:val="TOC Heading"/>
    <w:uiPriority w:val="39"/>
    <w:unhideWhenUsed/>
    <w:qFormat/>
    <w:pPr>
      <w:spacing w:after="200" w:line="276" w:lineRule="auto"/>
    </w:pPr>
  </w:style>
  <w:style w:type="paragraph" w:styleId="af4">
    <w:name w:val="table of figures"/>
    <w:basedOn w:val="a"/>
    <w:uiPriority w:val="99"/>
    <w:unhideWhenUsed/>
    <w:pPr>
      <w:spacing w:after="0"/>
    </w:pPr>
  </w:style>
  <w:style w:type="paragraph" w:styleId="af5">
    <w:name w:val="No Spacing"/>
    <w:basedOn w:val="a"/>
    <w:uiPriority w:val="1"/>
    <w:qFormat/>
    <w:pPr>
      <w:spacing w:after="0" w:line="240" w:lineRule="auto"/>
    </w:pPr>
  </w:style>
  <w:style w:type="paragraph" w:styleId="af6">
    <w:name w:val="List Paragraph"/>
    <w:basedOn w:val="a"/>
    <w:uiPriority w:val="34"/>
    <w:qFormat/>
    <w:pPr>
      <w:ind w:left="720"/>
      <w:contextualSpacing/>
    </w:pPr>
  </w:style>
  <w:style w:type="numbering" w:customStyle="1" w:styleId="af7">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New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6350" cap="flat" cmpd="sng" algn="ctr"/>
        <a:ln w="12700" cap="flat" cmpd="sng" algn="ctr"/>
        <a:ln w="19050" cap="flat" cmpd="sng" algn="ctr"/>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a:path>
          <a:tileRect/>
        </a:gradFill>
        <a:gradFill>
          <a:gsLst>
            <a:gs pos="0">
              <a:schemeClr val="phClr">
                <a:tint val="80000"/>
              </a:schemeClr>
            </a:gs>
            <a:gs pos="100000">
              <a:schemeClr val="phClr">
                <a:shade val="30000"/>
              </a:schemeClr>
            </a:gs>
          </a:gsLst>
          <a:path path="circle">
            <a:fillToRect/>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867</Words>
  <Characters>4948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Wen Lee</cp:lastModifiedBy>
  <cp:revision>11</cp:revision>
  <dcterms:created xsi:type="dcterms:W3CDTF">2025-05-13T07:56:00Z</dcterms:created>
  <dcterms:modified xsi:type="dcterms:W3CDTF">2025-05-13T11:33:00Z</dcterms:modified>
  <dc:language>ru-RU</dc:language>
</cp:coreProperties>
</file>